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Calibri" w:hAnsi="Calibri"/>
        </w:rPr>
      </w:pPr>
    </w:p>
    <w:p>
      <w:pPr>
        <w:pStyle w:val="Normal.0"/>
        <w:rPr>
          <w:rFonts w:ascii="Calibri" w:hAnsi="Calibri"/>
        </w:rPr>
      </w:pPr>
    </w:p>
    <w:p>
      <w:pPr>
        <w:pStyle w:val="Normal.0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</w:rPr>
        <w:t xml:space="preserve">PREDMET NABAVE: Izrada projektne dokumentacije za </w:t>
      </w:r>
      <w:r>
        <w:rPr>
          <w:rFonts w:ascii="Calibri" w:hAnsi="Calibri" w:hint="default"/>
          <w:b w:val="1"/>
          <w:bCs w:val="1"/>
          <w:rtl w:val="0"/>
        </w:rPr>
        <w:t>š</w:t>
      </w:r>
      <w:r>
        <w:rPr>
          <w:rFonts w:ascii="Calibri" w:hAnsi="Calibri"/>
          <w:b w:val="1"/>
          <w:bCs w:val="1"/>
          <w:rtl w:val="0"/>
        </w:rPr>
        <w:t>kolsku sportsku dvoranu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</w:rPr>
        <w:t>EV.BROJ NABAVE: MV-2/2022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b w:val="1"/>
          <w:bCs w:val="1"/>
          <w:rtl w:val="0"/>
        </w:rPr>
        <w:t>PROCIJENJENA VRIJEDNOST NABAVE: 480.000,00 kn bez PDV-a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b w:val="1"/>
          <w:bCs w:val="1"/>
          <w:rtl w:val="0"/>
        </w:rPr>
        <w:t xml:space="preserve">PROJEKTNI ZADATAK </w:t>
      </w:r>
      <w:r>
        <w:rPr>
          <w:rFonts w:ascii="Calibri" w:hAnsi="Calibri" w:hint="default"/>
          <w:b w:val="1"/>
          <w:bCs w:val="1"/>
          <w:rtl w:val="0"/>
        </w:rPr>
        <w:t xml:space="preserve">–  </w:t>
      </w:r>
      <w:r>
        <w:rPr>
          <w:rFonts w:ascii="Calibri" w:hAnsi="Calibri"/>
          <w:rtl w:val="0"/>
        </w:rPr>
        <w:t xml:space="preserve">SPORTSKA DVORANA  </w:t>
      </w:r>
      <w:r>
        <w:rPr>
          <w:rFonts w:ascii="Calibri" w:hAnsi="Calibri" w:hint="default"/>
          <w:rtl w:val="0"/>
        </w:rPr>
        <w:t>„</w:t>
      </w:r>
      <w:r>
        <w:rPr>
          <w:rFonts w:ascii="Calibri" w:hAnsi="Calibri"/>
          <w:rtl w:val="0"/>
        </w:rPr>
        <w:t>O</w:t>
      </w:r>
      <w:r>
        <w:rPr>
          <w:rFonts w:ascii="Calibri" w:hAnsi="Calibri" w:hint="default"/>
          <w:rtl w:val="0"/>
        </w:rPr>
        <w:t xml:space="preserve">Š </w:t>
      </w:r>
      <w:r>
        <w:rPr>
          <w:rFonts w:ascii="Calibri" w:hAnsi="Calibri"/>
          <w:rtl w:val="0"/>
        </w:rPr>
        <w:t>ROKOVCI ANDRIJA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EVCI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Calibri" w:hAnsi="Calibri"/>
          <w:b w:val="1"/>
          <w:bCs w:val="1"/>
          <w:rtl w:val="0"/>
        </w:rPr>
      </w:pPr>
      <w:r>
        <w:rPr>
          <w:rFonts w:ascii="Calibri" w:hAnsi="Calibri"/>
          <w:b w:val="1"/>
          <w:bCs w:val="1"/>
          <w:rtl w:val="0"/>
        </w:rPr>
        <w:t>OP</w:t>
      </w:r>
      <w:r>
        <w:rPr>
          <w:rFonts w:ascii="Calibri" w:hAnsi="Calibri" w:hint="default"/>
          <w:b w:val="1"/>
          <w:bCs w:val="1"/>
          <w:rtl w:val="0"/>
        </w:rPr>
        <w:t>Ć</w:t>
      </w:r>
      <w:r>
        <w:rPr>
          <w:rFonts w:ascii="Calibri" w:hAnsi="Calibri"/>
          <w:b w:val="1"/>
          <w:bCs w:val="1"/>
          <w:rtl w:val="0"/>
        </w:rPr>
        <w:t>I PODACI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  <w:b w:val="1"/>
          <w:bCs w:val="1"/>
        </w:rPr>
      </w:pPr>
      <w:r>
        <w:rPr>
          <w:rFonts w:ascii="Calibri" w:hAnsi="Calibri"/>
          <w:rtl w:val="0"/>
        </w:rPr>
        <w:t>Predmet ovog projektnog zadatka je izrada kompletnog idejnog, glavnog i izvedbenog projekta svih struka. Geodetski projekt (parcelaciju i spajanje), geomehani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kih ispitivanja tla,  slobodan pristup internetskoj mre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i ( WIFI), odvodnje oborinskih voda, shema potrebne stolarije, shema potrebne armature, Elaborat evakuacije i shema potrebnih PP aparata,  uklju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 potrebne revizije glavnih i izvedbenih projekata sa svim potrebnim detaljima za izgradnju objekta, sa svom dokumentacijom uklju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 pripadaju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elaborate,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kovnike uz izvedbene projekte te isho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enje 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 xml:space="preserve">evinske dozvole za izgradnju sportske dvorane </w:t>
      </w:r>
      <w:r>
        <w:rPr>
          <w:rFonts w:ascii="Calibri" w:hAnsi="Calibri" w:hint="default"/>
          <w:b w:val="1"/>
          <w:bCs w:val="1"/>
          <w:rtl w:val="0"/>
        </w:rPr>
        <w:t>š</w:t>
      </w:r>
      <w:r>
        <w:rPr>
          <w:rFonts w:ascii="Calibri" w:hAnsi="Calibri"/>
          <w:b w:val="1"/>
          <w:bCs w:val="1"/>
          <w:rtl w:val="0"/>
        </w:rPr>
        <w:t xml:space="preserve">kolske namjene. 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Podru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je zahvata nalazi se u naselju Andrija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evci, na 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estici. K.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.Br: 1061/8, a pokriveno je PPUO (Prostorni plan ure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op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ine Andrija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evci, Slu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 xml:space="preserve">beni vjesnik Vukovarsko-srijemske 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 xml:space="preserve">upanije 7/07, 18/09, 12/12, 7/17 i 7/18 </w:t>
      </w:r>
      <w:r>
        <w:rPr>
          <w:rFonts w:ascii="Calibri" w:hAnsi="Calibri" w:hint="default"/>
          <w:rtl w:val="0"/>
        </w:rPr>
        <w:t xml:space="preserve">– </w:t>
      </w:r>
      <w:r>
        <w:rPr>
          <w:rFonts w:ascii="Calibri" w:hAnsi="Calibri"/>
          <w:rtl w:val="0"/>
        </w:rPr>
        <w:t>pro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</w:t>
      </w:r>
      <w:r>
        <w:rPr>
          <w:rFonts w:ascii="Calibri" w:hAnsi="Calibri" w:hint="default"/>
          <w:rtl w:val="0"/>
        </w:rPr>
        <w:t>šć</w:t>
      </w:r>
      <w:r>
        <w:rPr>
          <w:rFonts w:ascii="Calibri" w:hAnsi="Calibri"/>
          <w:rtl w:val="0"/>
        </w:rPr>
        <w:t xml:space="preserve">eni tekst ). </w:t>
      </w:r>
    </w:p>
    <w:p>
      <w:pPr>
        <w:pStyle w:val="Normal.0"/>
        <w:ind w:firstLine="426"/>
        <w:rPr>
          <w:rFonts w:ascii="Calibri" w:cs="Calibri" w:hAnsi="Calibri" w:eastAsia="Calibri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Calibri" w:hAnsi="Calibri"/>
          <w:b w:val="1"/>
          <w:bCs w:val="1"/>
          <w:rtl w:val="0"/>
        </w:rPr>
      </w:pPr>
      <w:r>
        <w:rPr>
          <w:rFonts w:ascii="Calibri" w:hAnsi="Calibri"/>
          <w:b w:val="1"/>
          <w:bCs w:val="1"/>
          <w:rtl w:val="0"/>
        </w:rPr>
        <w:t>ZAHTJEVI NARU</w:t>
      </w:r>
      <w:r>
        <w:rPr>
          <w:rFonts w:ascii="Calibri" w:hAnsi="Calibri" w:hint="default"/>
          <w:b w:val="1"/>
          <w:bCs w:val="1"/>
          <w:rtl w:val="0"/>
        </w:rPr>
        <w:t>Č</w:t>
      </w:r>
      <w:r>
        <w:rPr>
          <w:rFonts w:ascii="Calibri" w:hAnsi="Calibri"/>
          <w:b w:val="1"/>
          <w:bCs w:val="1"/>
          <w:rtl w:val="0"/>
        </w:rPr>
        <w:t>ITELJA</w:t>
      </w:r>
    </w:p>
    <w:p>
      <w:pPr>
        <w:pStyle w:val="Normal.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-dvoranu projektirati kao dvodijelnu</w:t>
      </w:r>
    </w:p>
    <w:p>
      <w:pPr>
        <w:pStyle w:val="Standard (Web)"/>
        <w:shd w:val="clear" w:color="auto" w:fill="ffffff"/>
        <w:jc w:val="both"/>
        <w:rPr>
          <w:rFonts w:ascii="Verdana" w:cs="Verdana" w:hAnsi="Verdana" w:eastAsia="Verdana"/>
          <w:sz w:val="20"/>
          <w:szCs w:val="20"/>
        </w:rPr>
      </w:pPr>
      <w:r>
        <w:rPr>
          <w:rFonts w:ascii="Verdana" w:hAnsi="Verdana"/>
          <w:sz w:val="20"/>
          <w:szCs w:val="20"/>
          <w:rtl w:val="0"/>
        </w:rPr>
        <w:t xml:space="preserve">Osnovnu </w:t>
      </w:r>
      <w:r>
        <w:rPr>
          <w:rFonts w:ascii="Verdana" w:hAnsi="Verdana" w:hint="default"/>
          <w:sz w:val="20"/>
          <w:szCs w:val="20"/>
          <w:rtl w:val="0"/>
        </w:rPr>
        <w:t>š</w:t>
      </w:r>
      <w:r>
        <w:rPr>
          <w:rFonts w:ascii="Verdana" w:hAnsi="Verdana"/>
          <w:sz w:val="20"/>
          <w:szCs w:val="20"/>
          <w:rtl w:val="0"/>
        </w:rPr>
        <w:t>kolu Ivane Brli</w:t>
      </w:r>
      <w:r>
        <w:rPr>
          <w:rFonts w:ascii="Verdana" w:hAnsi="Verdana" w:hint="default"/>
          <w:sz w:val="20"/>
          <w:szCs w:val="20"/>
          <w:rtl w:val="0"/>
        </w:rPr>
        <w:t>ć</w:t>
      </w:r>
      <w:r>
        <w:rPr>
          <w:rFonts w:ascii="Verdana" w:hAnsi="Verdana"/>
          <w:sz w:val="20"/>
          <w:szCs w:val="20"/>
          <w:rtl w:val="0"/>
        </w:rPr>
        <w:t>-Ma</w:t>
      </w:r>
      <w:r>
        <w:rPr>
          <w:rFonts w:ascii="Verdana" w:hAnsi="Verdana" w:hint="default"/>
          <w:sz w:val="20"/>
          <w:szCs w:val="20"/>
          <w:rtl w:val="0"/>
        </w:rPr>
        <w:t>ž</w:t>
      </w:r>
      <w:r>
        <w:rPr>
          <w:rFonts w:ascii="Verdana" w:hAnsi="Verdana"/>
          <w:sz w:val="20"/>
          <w:szCs w:val="20"/>
          <w:rtl w:val="0"/>
        </w:rPr>
        <w:t>urani</w:t>
      </w:r>
      <w:r>
        <w:rPr>
          <w:rFonts w:ascii="Verdana" w:hAnsi="Verdana" w:hint="default"/>
          <w:sz w:val="20"/>
          <w:szCs w:val="20"/>
          <w:rtl w:val="0"/>
        </w:rPr>
        <w:t xml:space="preserve">ć </w:t>
      </w:r>
      <w:r>
        <w:rPr>
          <w:rFonts w:ascii="Verdana" w:hAnsi="Verdana"/>
          <w:sz w:val="20"/>
          <w:szCs w:val="20"/>
          <w:rtl w:val="0"/>
        </w:rPr>
        <w:t>Rokovci-Andrija</w:t>
      </w:r>
      <w:r>
        <w:rPr>
          <w:rFonts w:ascii="Verdana" w:hAnsi="Verdana" w:hint="default"/>
          <w:sz w:val="20"/>
          <w:szCs w:val="20"/>
          <w:rtl w:val="0"/>
        </w:rPr>
        <w:t>š</w:t>
      </w:r>
      <w:r>
        <w:rPr>
          <w:rFonts w:ascii="Verdana" w:hAnsi="Verdana"/>
          <w:sz w:val="20"/>
          <w:szCs w:val="20"/>
          <w:rtl w:val="0"/>
        </w:rPr>
        <w:t>evci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 xml:space="preserve">ove </w:t>
      </w:r>
      <w:r>
        <w:rPr>
          <w:rFonts w:ascii="Verdana" w:hAnsi="Verdana" w:hint="default"/>
          <w:sz w:val="20"/>
          <w:szCs w:val="20"/>
          <w:rtl w:val="0"/>
        </w:rPr>
        <w:t>š</w:t>
      </w:r>
      <w:r>
        <w:rPr>
          <w:rFonts w:ascii="Verdana" w:hAnsi="Verdana"/>
          <w:sz w:val="20"/>
          <w:szCs w:val="20"/>
          <w:rtl w:val="0"/>
        </w:rPr>
        <w:t>kolske godine 2021./2022. poha</w:t>
      </w:r>
      <w:r>
        <w:rPr>
          <w:rFonts w:ascii="Verdana" w:hAnsi="Verdana" w:hint="default"/>
          <w:sz w:val="20"/>
          <w:szCs w:val="20"/>
          <w:rtl w:val="0"/>
        </w:rPr>
        <w:t>đ</w:t>
      </w:r>
      <w:r>
        <w:rPr>
          <w:rFonts w:ascii="Verdana" w:hAnsi="Verdana"/>
          <w:sz w:val="20"/>
          <w:szCs w:val="20"/>
          <w:rtl w:val="0"/>
        </w:rPr>
        <w:t>a 327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>u</w:t>
      </w:r>
      <w:r>
        <w:rPr>
          <w:rFonts w:ascii="Verdana" w:hAnsi="Verdana" w:hint="default"/>
          <w:sz w:val="20"/>
          <w:szCs w:val="20"/>
          <w:rtl w:val="0"/>
        </w:rPr>
        <w:t>č</w:t>
      </w:r>
      <w:r>
        <w:rPr>
          <w:rFonts w:ascii="Verdana" w:hAnsi="Verdana"/>
          <w:sz w:val="20"/>
          <w:szCs w:val="20"/>
          <w:rtl w:val="0"/>
        </w:rPr>
        <w:t>enika. Razrednu nastavu poha</w:t>
      </w:r>
      <w:r>
        <w:rPr>
          <w:rFonts w:ascii="Verdana" w:hAnsi="Verdana" w:hint="default"/>
          <w:sz w:val="20"/>
          <w:szCs w:val="20"/>
          <w:rtl w:val="0"/>
        </w:rPr>
        <w:t>đ</w:t>
      </w:r>
      <w:r>
        <w:rPr>
          <w:rFonts w:ascii="Verdana" w:hAnsi="Verdana"/>
          <w:sz w:val="20"/>
          <w:szCs w:val="20"/>
          <w:rtl w:val="0"/>
        </w:rPr>
        <w:t>a 151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>u</w:t>
      </w:r>
      <w:r>
        <w:rPr>
          <w:rFonts w:ascii="Verdana" w:hAnsi="Verdana" w:hint="default"/>
          <w:sz w:val="20"/>
          <w:szCs w:val="20"/>
          <w:rtl w:val="0"/>
        </w:rPr>
        <w:t>č</w:t>
      </w:r>
      <w:r>
        <w:rPr>
          <w:rFonts w:ascii="Verdana" w:hAnsi="Verdana"/>
          <w:sz w:val="20"/>
          <w:szCs w:val="20"/>
          <w:rtl w:val="0"/>
        </w:rPr>
        <w:t>enik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>u 8 razrednih odjela, dok</w:t>
      </w:r>
      <w:r>
        <w:rPr>
          <w:rFonts w:ascii="Verdana" w:hAnsi="Verdana" w:hint="default"/>
          <w:sz w:val="20"/>
          <w:szCs w:val="20"/>
          <w:rtl w:val="0"/>
        </w:rPr>
        <w:t xml:space="preserve">  </w:t>
      </w:r>
      <w:r>
        <w:rPr>
          <w:rFonts w:ascii="Verdana" w:hAnsi="Verdana"/>
          <w:sz w:val="20"/>
          <w:szCs w:val="20"/>
          <w:rtl w:val="0"/>
        </w:rPr>
        <w:t>predmetnu nastavu poha</w:t>
      </w:r>
      <w:r>
        <w:rPr>
          <w:rFonts w:ascii="Verdana" w:hAnsi="Verdana" w:hint="default"/>
          <w:sz w:val="20"/>
          <w:szCs w:val="20"/>
          <w:rtl w:val="0"/>
        </w:rPr>
        <w:t>đ</w:t>
      </w:r>
      <w:r>
        <w:rPr>
          <w:rFonts w:ascii="Verdana" w:hAnsi="Verdana"/>
          <w:sz w:val="20"/>
          <w:szCs w:val="20"/>
          <w:rtl w:val="0"/>
        </w:rPr>
        <w:t>a 176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>u</w:t>
      </w:r>
      <w:r>
        <w:rPr>
          <w:rFonts w:ascii="Verdana" w:hAnsi="Verdana" w:hint="default"/>
          <w:sz w:val="20"/>
          <w:szCs w:val="20"/>
          <w:rtl w:val="0"/>
        </w:rPr>
        <w:t>č</w:t>
      </w:r>
      <w:r>
        <w:rPr>
          <w:rFonts w:ascii="Verdana" w:hAnsi="Verdana"/>
          <w:sz w:val="20"/>
          <w:szCs w:val="20"/>
          <w:rtl w:val="0"/>
        </w:rPr>
        <w:t>enika u 9</w:t>
      </w:r>
      <w:r>
        <w:rPr>
          <w:rFonts w:ascii="Verdana" w:hAnsi="Verdana" w:hint="default"/>
          <w:sz w:val="20"/>
          <w:szCs w:val="20"/>
          <w:rtl w:val="0"/>
        </w:rPr>
        <w:t> </w:t>
      </w:r>
      <w:r>
        <w:rPr>
          <w:rFonts w:ascii="Verdana" w:hAnsi="Verdana"/>
          <w:sz w:val="20"/>
          <w:szCs w:val="20"/>
          <w:rtl w:val="0"/>
        </w:rPr>
        <w:t xml:space="preserve">razrednih odjela. </w:t>
      </w:r>
    </w:p>
    <w:p>
      <w:pPr>
        <w:pStyle w:val="Standard (Web)"/>
        <w:shd w:val="clear" w:color="auto" w:fill="ffffff"/>
        <w:jc w:val="both"/>
        <w:rPr>
          <w:rFonts w:ascii="Verdana" w:cs="Verdana" w:hAnsi="Verdana" w:eastAsia="Verdana"/>
          <w:sz w:val="20"/>
          <w:szCs w:val="20"/>
        </w:rPr>
      </w:pPr>
      <w:r>
        <w:rPr>
          <w:rFonts w:ascii="Verdana" w:hAnsi="Verdana"/>
          <w:sz w:val="20"/>
          <w:szCs w:val="20"/>
          <w:rtl w:val="0"/>
        </w:rPr>
        <w:t>Prema tablici 4 iz pravilnika po u</w:t>
      </w:r>
      <w:r>
        <w:rPr>
          <w:rFonts w:ascii="Verdana" w:hAnsi="Verdana" w:hint="default"/>
          <w:sz w:val="20"/>
          <w:szCs w:val="20"/>
          <w:rtl w:val="0"/>
        </w:rPr>
        <w:t>č</w:t>
      </w:r>
      <w:r>
        <w:rPr>
          <w:rFonts w:ascii="Verdana" w:hAnsi="Verdana"/>
          <w:sz w:val="20"/>
          <w:szCs w:val="20"/>
          <w:rtl w:val="0"/>
        </w:rPr>
        <w:t xml:space="preserve">enicima bi bila jednodijelna a po broju odjeljenja dvodijelna </w:t>
      </w:r>
    </w:p>
    <w:p>
      <w:pPr>
        <w:pStyle w:val="Normal.0"/>
      </w:pPr>
      <w:r>
        <w:rPr>
          <w:rtl w:val="0"/>
          <w:lang w:val="en-US"/>
        </w:rPr>
        <w:t xml:space="preserve">TABELA 4    PRIPADNOST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 xml:space="preserve">KOLSKIH SPORTSKIH DVORANA        </w:t>
      </w:r>
    </w:p>
    <w:tbl>
      <w:tblPr>
        <w:tblW w:w="10538" w:type="dxa"/>
        <w:jc w:val="left"/>
        <w:tblInd w:w="99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505"/>
        <w:gridCol w:w="1506"/>
        <w:gridCol w:w="1505"/>
        <w:gridCol w:w="1506"/>
        <w:gridCol w:w="1505"/>
        <w:gridCol w:w="1505"/>
        <w:gridCol w:w="1506"/>
      </w:tblGrid>
      <w:tr>
        <w:tblPrEx>
          <w:shd w:val="clear" w:color="auto" w:fill="ced7e7"/>
        </w:tblPrEx>
        <w:trPr>
          <w:trHeight w:val="250" w:hRule="atLeast"/>
        </w:trPr>
        <w:tc>
          <w:tcPr>
            <w:tcW w:type="dxa" w:w="1505"/>
            <w:vMerge w:val="restart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3011"/>
            <w:gridSpan w:val="2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8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12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40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JEDNODIJELNA</w:t>
            </w:r>
          </w:p>
        </w:tc>
        <w:tc>
          <w:tcPr>
            <w:tcW w:type="dxa" w:w="3010"/>
            <w:gridSpan w:val="2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8" w:space="0" w:shadow="0" w:frame="0"/>
              <w:right w:val="single" w:color="000000" w:sz="23" w:space="0" w:shadow="0" w:frame="0"/>
            </w:tcBorders>
            <w:shd w:val="clear" w:color="auto" w:fill="auto"/>
            <w:tcMar>
              <w:top w:type="dxa" w:w="80"/>
              <w:left w:type="dxa" w:w="11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39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DVODIJELNA</w:t>
            </w:r>
          </w:p>
        </w:tc>
        <w:tc>
          <w:tcPr>
            <w:tcW w:type="dxa" w:w="3011"/>
            <w:gridSpan w:val="2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8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12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42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TRODIJELNA</w:t>
            </w:r>
          </w:p>
        </w:tc>
      </w:tr>
      <w:tr>
        <w:tblPrEx>
          <w:shd w:val="clear" w:color="auto" w:fill="ced7e7"/>
        </w:tblPrEx>
        <w:trPr>
          <w:trHeight w:val="510" w:hRule="atLeast"/>
        </w:trPr>
        <w:tc>
          <w:tcPr>
            <w:tcW w:type="dxa" w:w="1505"/>
            <w:vMerge w:val="continue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auto"/>
          </w:tcPr>
          <w:p/>
        </w:tc>
        <w:tc>
          <w:tcPr>
            <w:tcW w:type="dxa" w:w="1506"/>
            <w:tcBorders>
              <w:top w:val="single" w:color="000000" w:sz="8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c5d9f1"/>
            <w:tcMar>
              <w:top w:type="dxa" w:w="80"/>
              <w:left w:type="dxa" w:w="18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03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odjela</w:t>
            </w:r>
          </w:p>
        </w:tc>
        <w:tc>
          <w:tcPr>
            <w:tcW w:type="dxa" w:w="15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12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41" w:firstLine="0"/>
              <w:jc w:val="both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u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enika</w:t>
            </w:r>
          </w:p>
        </w:tc>
        <w:tc>
          <w:tcPr>
            <w:tcW w:type="dxa" w:w="1505"/>
            <w:tcBorders>
              <w:top w:val="single" w:color="000000" w:sz="8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8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03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odjela</w:t>
            </w:r>
          </w:p>
        </w:tc>
        <w:tc>
          <w:tcPr>
            <w:tcW w:type="dxa" w:w="15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auto"/>
            <w:tcMar>
              <w:top w:type="dxa" w:w="80"/>
              <w:left w:type="dxa" w:w="12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41" w:firstLine="0"/>
              <w:jc w:val="both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u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enika</w:t>
            </w:r>
          </w:p>
        </w:tc>
        <w:tc>
          <w:tcPr>
            <w:tcW w:type="dxa" w:w="1505"/>
            <w:tcBorders>
              <w:top w:val="single" w:color="000000" w:sz="8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c5d9f1"/>
            <w:tcMar>
              <w:top w:type="dxa" w:w="80"/>
              <w:left w:type="dxa" w:w="18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103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odjela</w:t>
            </w:r>
          </w:p>
        </w:tc>
        <w:tc>
          <w:tcPr>
            <w:tcW w:type="dxa" w:w="1506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br. u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enika</w:t>
            </w:r>
          </w:p>
        </w:tc>
      </w:tr>
      <w:tr>
        <w:tblPrEx>
          <w:shd w:val="clear" w:color="auto" w:fill="ced7e7"/>
        </w:tblPrEx>
        <w:trPr>
          <w:trHeight w:val="529" w:hRule="atLeast"/>
        </w:trPr>
        <w:tc>
          <w:tcPr>
            <w:tcW w:type="dxa" w:w="1505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VELI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INA </w:t>
            </w:r>
            <w:r>
              <w:rPr>
                <w:rFonts w:ascii="Calibri" w:hAnsi="Calibri" w:hint="default"/>
                <w:sz w:val="22"/>
                <w:szCs w:val="22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KOLE</w:t>
            </w:r>
          </w:p>
        </w:tc>
        <w:tc>
          <w:tcPr>
            <w:tcW w:type="dxa" w:w="1506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c5d9f1"/>
            <w:tcMar>
              <w:top w:type="dxa" w:w="80"/>
              <w:left w:type="dxa" w:w="106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26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 xml:space="preserve">6 - 12 </w:t>
            </w:r>
          </w:p>
        </w:tc>
        <w:tc>
          <w:tcPr>
            <w:tcW w:type="dxa" w:w="1505"/>
            <w:tcBorders>
              <w:top w:val="single" w:color="000000" w:sz="23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40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do 360</w:t>
            </w:r>
          </w:p>
        </w:tc>
        <w:tc>
          <w:tcPr>
            <w:tcW w:type="dxa" w:w="1505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40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13 - 22</w:t>
            </w:r>
          </w:p>
        </w:tc>
        <w:tc>
          <w:tcPr>
            <w:tcW w:type="dxa" w:w="1505"/>
            <w:tcBorders>
              <w:top w:val="single" w:color="000000" w:sz="23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auto"/>
            <w:tcMar>
              <w:top w:type="dxa" w:w="80"/>
              <w:left w:type="dxa" w:w="121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41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390-660</w:t>
            </w:r>
          </w:p>
        </w:tc>
        <w:tc>
          <w:tcPr>
            <w:tcW w:type="dxa" w:w="1505"/>
            <w:tcBorders>
              <w:top w:val="single" w:color="000000" w:sz="23" w:space="0" w:shadow="0" w:frame="0"/>
              <w:left w:val="single" w:color="000000" w:sz="23" w:space="0" w:shadow="0" w:frame="0"/>
              <w:bottom w:val="single" w:color="000000" w:sz="23" w:space="0" w:shadow="0" w:frame="0"/>
              <w:right w:val="single" w:color="000000" w:sz="8" w:space="0" w:shadow="0" w:frame="0"/>
            </w:tcBorders>
            <w:shd w:val="clear" w:color="auto" w:fill="c5d9f1"/>
            <w:tcMar>
              <w:top w:type="dxa" w:w="80"/>
              <w:left w:type="dxa" w:w="12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40" w:firstLine="0"/>
              <w:jc w:val="center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23 - 40</w:t>
            </w:r>
          </w:p>
        </w:tc>
        <w:tc>
          <w:tcPr>
            <w:tcW w:type="dxa" w:w="1506"/>
            <w:tcBorders>
              <w:top w:val="single" w:color="000000" w:sz="23" w:space="0" w:shadow="0" w:frame="0"/>
              <w:left w:val="single" w:color="000000" w:sz="8" w:space="0" w:shadow="0" w:frame="0"/>
              <w:bottom w:val="single" w:color="000000" w:sz="23" w:space="0" w:shadow="0" w:frame="0"/>
              <w:right w:val="single" w:color="000000" w:sz="23" w:space="0" w:shadow="0" w:frame="0"/>
            </w:tcBorders>
            <w:shd w:val="clear" w:color="auto" w:fill="c5d9f1"/>
            <w:tcMar>
              <w:top w:type="dxa" w:w="80"/>
              <w:left w:type="dxa" w:w="159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79" w:firstLine="0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</w:rPr>
              <w:t>preko 660</w:t>
            </w:r>
          </w:p>
        </w:tc>
      </w:tr>
    </w:tbl>
    <w:p>
      <w:pPr>
        <w:pStyle w:val="Normal.0"/>
        <w:widowControl w:val="0"/>
        <w:ind w:left="888" w:hanging="888"/>
      </w:pP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-dimenzije borili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ta</w:t>
      </w: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jc w:val="both"/>
        <w:rPr>
          <w:rFonts w:ascii="Calibri" w:cs="Calibri" w:hAnsi="Calibri" w:eastAsia="Calibri"/>
        </w:rPr>
      </w:pPr>
    </w:p>
    <w:tbl>
      <w:tblPr>
        <w:tblW w:w="1143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60"/>
        <w:gridCol w:w="4338"/>
        <w:gridCol w:w="2213"/>
        <w:gridCol w:w="2211"/>
        <w:gridCol w:w="2213"/>
      </w:tblGrid>
      <w:tr>
        <w:tblPrEx>
          <w:shd w:val="clear" w:color="auto" w:fill="ced7e7"/>
        </w:tblPrEx>
        <w:trPr>
          <w:trHeight w:val="285" w:hRule="atLeast"/>
        </w:trPr>
        <w:tc>
          <w:tcPr>
            <w:tcW w:type="dxa" w:w="11435"/>
            <w:gridSpan w:val="5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TABELA 3   PREGLED PROSTORA GRA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Đ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EVINE 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KOLSKE 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PORTSKE DVORANE (m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²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1416" w:hRule="atLeast"/>
        </w:trPr>
        <w:tc>
          <w:tcPr>
            <w:tcW w:type="dxa" w:w="460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64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84" w:firstLine="0"/>
            </w:pPr>
            <w:r>
              <w:rPr>
                <w:rFonts w:ascii="Calibri" w:cs="Calibri" w:hAnsi="Calibri" w:eastAsia="Calibri"/>
                <w:sz w:val="22"/>
                <w:szCs w:val="22"/>
                <w:shd w:val="nil" w:color="auto" w:fill="auto"/>
              </w:rPr>
              <mc:AlternateContent>
                <mc:Choice Requires="wps">
                  <w:drawing xmlns:a="http://schemas.openxmlformats.org/drawingml/2006/main">
                    <wp:inline distT="0" distB="0" distL="0" distR="0">
                      <wp:extent cx="119665" cy="382573"/>
                      <wp:effectExtent l="0" t="0" r="0" b="0"/>
                      <wp:docPr id="1073741825" name="officeArt object" descr="Red. br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9665" cy="38257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pStyle w:val="Normal.0"/>
                                    <w:bidi w:val="0"/>
                                    <w:ind w:left="0" w:right="0" w:firstLine="0"/>
                                    <w:jc w:val="left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 w:val="1"/>
                                      <w:bCs w:val="1"/>
                                      <w:outline w:val="0"/>
                                      <w:color w:val="404040"/>
                                      <w:sz w:val="20"/>
                                      <w:szCs w:val="20"/>
                                      <w:u w:color="404040"/>
                                      <w:shd w:val="nil" w:color="auto" w:fill="auto"/>
                                      <w:rtl w:val="0"/>
                                      <w:lang w:val="en-US"/>
                                      <w14:textFill>
                                        <w14:solidFill>
                                          <w14:srgbClr w14:val="404040"/>
                                        </w14:solidFill>
                                      </w14:textFill>
                                    </w:rPr>
                                    <w:t>Red. br.</w:t>
                                  </w:r>
                                </w:p>
                              </w:txbxContent>
                            </wps:txbx>
                            <wps:bodyPr wrap="square" lIns="0" tIns="0" rIns="0" bIns="0" numCol="1" anchor="t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_x0000_s1026" type="#_x0000_t202" style="visibility:visible;width:9.4pt;height:30.1pt;">
                      <v:fill on="f"/>
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  <v:textbox>
                        <w:txbxContent>
                          <w:p>
                            <w:pPr>
                              <w:pStyle w:val="Normal.0"/>
                              <w:bidi w:val="0"/>
                              <w:ind w:left="0" w:right="0" w:firstLine="0"/>
                              <w:jc w:val="left"/>
                              <w:rPr>
                                <w:rtl w:val="0"/>
                              </w:rPr>
                            </w:pPr>
                            <w:r>
                              <w:rPr>
                                <w:rFonts w:ascii="Calibri" w:hAnsi="Calibri"/>
                                <w:b w:val="1"/>
                                <w:bCs w:val="1"/>
                                <w:outline w:val="0"/>
                                <w:color w:val="404040"/>
                                <w:sz w:val="20"/>
                                <w:szCs w:val="20"/>
                                <w:u w:color="404040"/>
                                <w:shd w:val="nil" w:color="auto" w:fill="auto"/>
                                <w:rtl w:val="0"/>
                                <w:lang w:val="en-US"/>
                                <w14:textFill>
                                  <w14:solidFill>
                                    <w14:srgbClr w14:val="404040"/>
                                  </w14:solidFill>
                                </w14:textFill>
                              </w:rPr>
                              <w:t>Red. br.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cs="Calibri" w:hAnsi="Calibri" w:eastAsia="Calibri"/>
                <w:sz w:val="22"/>
                <w:szCs w:val="22"/>
                <w:shd w:val="nil" w:color="auto" w:fill="auto"/>
                <w:lang w:val="en-US"/>
              </w:rPr>
              <mc:AlternateContent>
                <mc:Choice Requires="wps">
                  <w:drawing xmlns:a="http://schemas.openxmlformats.org/drawingml/2006/main">
                    <wp:inline distT="0" distB="0" distL="0" distR="0">
                      <wp:extent cx="119665" cy="382573"/>
                      <wp:effectExtent l="0" t="0" r="0" b="0"/>
                      <wp:docPr id="1073741826" name="officeArt object" descr="Rectangl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665" cy="382573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_x0000_s1027" style="visibility:visible;width:9.4pt;height:30.1pt;">
                      <v:fill on="f"/>
  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/v:rect>
                  </w:pict>
                </mc:Fallback>
              </mc:AlternateContent>
            </w:r>
          </w:p>
        </w:tc>
        <w:tc>
          <w:tcPr>
            <w:tcW w:type="dxa" w:w="4338"/>
            <w:tcBorders>
              <w:top w:val="single" w:color="000000" w:sz="21" w:space="0" w:shadow="0" w:frame="0"/>
              <w:left w:val="single" w:color="000000" w:sz="14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PROSTORI</w:t>
            </w:r>
          </w:p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JEDNODIJELNA  (m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²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)</w:t>
            </w:r>
          </w:p>
        </w:tc>
        <w:tc>
          <w:tcPr>
            <w:tcW w:type="dxa" w:w="2211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1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DVODIJELNA (m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²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)</w:t>
            </w:r>
          </w:p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27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47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TRODIJELNA (m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²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ced7e7"/>
        </w:tblPrEx>
        <w:trPr>
          <w:trHeight w:val="251" w:hRule="atLeast"/>
        </w:trPr>
        <w:tc>
          <w:tcPr>
            <w:tcW w:type="dxa" w:w="460"/>
            <w:vMerge w:val="restart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1.</w:t>
            </w:r>
          </w:p>
        </w:tc>
        <w:tc>
          <w:tcPr>
            <w:tcW w:type="dxa" w:w="4338"/>
            <w:tcBorders>
              <w:top w:val="single" w:color="000000" w:sz="21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BORILI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TE</w:t>
            </w:r>
          </w:p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svjetle dimenzije 15 x 27 x 6 m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405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svjetle dimenzije 22 x 32 x 7 m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704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svjetle dimenzije 27 x 45 x 8 m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1215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restart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MALA DVORANA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svjetle dimenzije   8 x 10 x 4 m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80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svjetle dimenzije 14 x 14 x 5 m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196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196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restart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SPREMI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TE SPRAVA I OPREME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33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1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33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33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x 2 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66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33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3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99</w:t>
            </w:r>
          </w:p>
        </w:tc>
      </w:tr>
      <w:tr>
        <w:tblPrEx>
          <w:shd w:val="clear" w:color="auto" w:fill="ced7e7"/>
        </w:tblPrEx>
        <w:trPr>
          <w:trHeight w:val="25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4.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SPREMI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TE 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ISTA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ICA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9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restart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5.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SVLA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IONICE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( 15 - 18 )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2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36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21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6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126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21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8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168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restart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PRAONICE + WC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14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2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21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3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63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21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4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84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7.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  <w:rPr>
                <w:rFonts w:ascii="Calibri" w:cs="Calibri" w:hAnsi="Calibri" w:eastAsia="Calibri"/>
                <w:sz w:val="22"/>
                <w:szCs w:val="22"/>
                <w:shd w:val="nil" w:color="auto" w:fill="auto"/>
              </w:rPr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WC iz 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č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istog hodnika</w:t>
            </w:r>
          </w:p>
          <w:p>
            <w:pPr>
              <w:pStyle w:val="Normal.0"/>
              <w:bidi w:val="0"/>
              <w:ind w:left="2" w:right="0" w:firstLine="0"/>
              <w:jc w:val="left"/>
              <w:rPr>
                <w:rtl w:val="0"/>
              </w:rPr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2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restart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8.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KABINET NASTAVNIKA SA SANITARIJAMA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1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33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x 2 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7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42" w:hRule="atLeast"/>
        </w:trPr>
        <w:tc>
          <w:tcPr>
            <w:tcW w:type="dxa" w:w="460"/>
            <w:vMerge w:val="continue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</w:tcPr>
          <w:p/>
        </w:tc>
        <w:tc>
          <w:tcPr>
            <w:tcW w:type="dxa" w:w="4338"/>
            <w:tcBorders>
              <w:top w:val="single" w:color="000000" w:sz="7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3</w:t>
            </w:r>
          </w:p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3"/>
            <w:tcBorders>
              <w:top w:val="single" w:color="000000" w:sz="7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36</w:t>
            </w:r>
          </w:p>
        </w:tc>
      </w:tr>
      <w:tr>
        <w:tblPrEx>
          <w:shd w:val="clear" w:color="auto" w:fill="ced7e7"/>
        </w:tblPrEx>
        <w:trPr>
          <w:trHeight w:val="25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79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99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9.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KABINET FIZI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de-DE"/>
              </w:rPr>
              <w:t>Č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de-DE"/>
              </w:rPr>
              <w:t>KE KULTURE (nije obavezno)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10.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AMBULANTA, PRVA POMO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Ć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(nije obavezno)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11.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SANITARIJE GLEDATELJA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25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12.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  <w:rPr>
                <w:rFonts w:ascii="Calibri" w:cs="Calibri" w:hAnsi="Calibri" w:eastAsia="Calibri"/>
                <w:sz w:val="22"/>
                <w:szCs w:val="22"/>
                <w:shd w:val="nil" w:color="auto" w:fill="auto"/>
              </w:rPr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WC invalidi</w:t>
            </w:r>
          </w:p>
          <w:p>
            <w:pPr>
              <w:pStyle w:val="Normal.0"/>
              <w:bidi w:val="0"/>
              <w:ind w:left="2" w:right="0" w:firstLine="0"/>
              <w:jc w:val="left"/>
              <w:rPr>
                <w:rtl w:val="0"/>
              </w:rPr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 m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² 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x 2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13.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ULAZNI HAL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35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14.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VRATARNICA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15.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KONDICIONIRANJE ZRAKA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41</w:t>
            </w:r>
          </w:p>
        </w:tc>
      </w:tr>
      <w:tr>
        <w:tblPrEx>
          <w:shd w:val="clear" w:color="auto" w:fill="ced7e7"/>
        </w:tblPrEx>
        <w:trPr>
          <w:trHeight w:val="511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16.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PROSTOR SMJE</w:t>
            </w:r>
            <w:r>
              <w:rPr>
                <w:rFonts w:ascii="Calibri" w:hAnsi="Calibri" w:hint="default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TAJA TELESKOPSKIH TRIBINA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38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14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54</w:t>
            </w:r>
          </w:p>
        </w:tc>
      </w:tr>
      <w:tr>
        <w:tblPrEx>
          <w:shd w:val="clear" w:color="auto" w:fill="ced7e7"/>
        </w:tblPrEx>
        <w:trPr>
          <w:trHeight w:val="520" w:hRule="atLeast"/>
        </w:trPr>
        <w:tc>
          <w:tcPr>
            <w:tcW w:type="dxa" w:w="460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131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1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17.</w:t>
            </w:r>
          </w:p>
        </w:tc>
        <w:tc>
          <w:tcPr>
            <w:tcW w:type="dxa" w:w="4338"/>
            <w:tcBorders>
              <w:top w:val="single" w:color="000000" w:sz="14" w:space="0" w:shadow="0" w:frame="0"/>
              <w:left w:val="single" w:color="000000" w:sz="14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HODNICI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81</w:t>
            </w:r>
          </w:p>
        </w:tc>
        <w:tc>
          <w:tcPr>
            <w:tcW w:type="dxa" w:w="2211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96</w:t>
            </w:r>
          </w:p>
        </w:tc>
        <w:tc>
          <w:tcPr>
            <w:tcW w:type="dxa" w:w="2213"/>
            <w:tcBorders>
              <w:top w:val="single" w:color="000000" w:sz="14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sz w:val="20"/>
                <w:szCs w:val="20"/>
                <w:shd w:val="nil" w:color="auto" w:fill="auto"/>
                <w:rtl w:val="0"/>
                <w:lang w:val="en-US"/>
              </w:rPr>
              <w:t>180</w:t>
            </w:r>
          </w:p>
        </w:tc>
      </w:tr>
      <w:tr>
        <w:tblPrEx>
          <w:shd w:val="clear" w:color="auto" w:fill="ced7e7"/>
        </w:tblPrEx>
        <w:trPr>
          <w:trHeight w:val="528" w:hRule="atLeast"/>
        </w:trPr>
        <w:tc>
          <w:tcPr>
            <w:tcW w:type="dxa" w:w="460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1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338"/>
            <w:tcBorders>
              <w:top w:val="single" w:color="000000" w:sz="21" w:space="0" w:shadow="0" w:frame="0"/>
              <w:left w:val="single" w:color="000000" w:sz="14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left="2" w:firstLine="0"/>
              <w:rPr>
                <w:rFonts w:ascii="Calibri" w:cs="Calibri" w:hAnsi="Calibri" w:eastAsia="Calibri"/>
                <w:sz w:val="22"/>
                <w:szCs w:val="22"/>
                <w:shd w:val="nil" w:color="auto" w:fill="auto"/>
              </w:rPr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NETO POVR</w:t>
            </w:r>
            <w:r>
              <w:rPr>
                <w:rFonts w:ascii="Calibri" w:hAnsi="Calibri" w:hint="default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Š</w:t>
            </w: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 xml:space="preserve">INA </w:t>
            </w:r>
          </w:p>
          <w:p>
            <w:pPr>
              <w:pStyle w:val="Normal.0"/>
              <w:bidi w:val="0"/>
              <w:ind w:left="2" w:right="0" w:firstLine="0"/>
              <w:jc w:val="left"/>
              <w:rPr>
                <w:rtl w:val="0"/>
              </w:rPr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(bez debljina zidova)</w:t>
            </w:r>
          </w:p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21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c5d9f1"/>
            <w:tcMar>
              <w:top w:type="dxa" w:w="80"/>
              <w:left w:type="dxa" w:w="133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3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778</w:t>
            </w:r>
          </w:p>
        </w:tc>
        <w:tc>
          <w:tcPr>
            <w:tcW w:type="dxa" w:w="2211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7" w:space="0" w:shadow="0" w:frame="0"/>
            </w:tcBorders>
            <w:shd w:val="clear" w:color="auto" w:fill="auto"/>
            <w:tcMar>
              <w:top w:type="dxa" w:w="80"/>
              <w:left w:type="dxa" w:w="13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1440</w:t>
            </w:r>
          </w:p>
        </w:tc>
        <w:tc>
          <w:tcPr>
            <w:tcW w:type="dxa" w:w="2213"/>
            <w:tcBorders>
              <w:top w:val="single" w:color="000000" w:sz="21" w:space="0" w:shadow="0" w:frame="0"/>
              <w:left w:val="single" w:color="000000" w:sz="7" w:space="0" w:shadow="0" w:frame="0"/>
              <w:bottom w:val="single" w:color="000000" w:sz="21" w:space="0" w:shadow="0" w:frame="0"/>
              <w:right w:val="single" w:color="000000" w:sz="21" w:space="0" w:shadow="0" w:frame="0"/>
            </w:tcBorders>
            <w:shd w:val="clear" w:color="auto" w:fill="c5d9f1"/>
            <w:tcMar>
              <w:top w:type="dxa" w:w="80"/>
              <w:left w:type="dxa" w:w="130"/>
              <w:bottom w:type="dxa" w:w="80"/>
              <w:right w:type="dxa" w:w="80"/>
            </w:tcMar>
            <w:vAlign w:val="center"/>
          </w:tcPr>
          <w:p>
            <w:pPr>
              <w:pStyle w:val="Normal.0"/>
              <w:ind w:left="50" w:firstLine="0"/>
              <w:jc w:val="center"/>
            </w:pPr>
            <w:r>
              <w:rPr>
                <w:rFonts w:ascii="Calibri" w:hAnsi="Calibri"/>
                <w:b w:val="1"/>
                <w:bCs w:val="1"/>
                <w:sz w:val="20"/>
                <w:szCs w:val="20"/>
                <w:shd w:val="nil" w:color="auto" w:fill="auto"/>
                <w:rtl w:val="0"/>
                <w:lang w:val="en-US"/>
              </w:rPr>
              <w:t>2190</w:t>
            </w:r>
          </w:p>
        </w:tc>
      </w:tr>
    </w:tbl>
    <w:p>
      <w:pPr>
        <w:pStyle w:val="Normal.0"/>
        <w:ind w:right="732"/>
      </w:pPr>
    </w:p>
    <w:p>
      <w:pPr>
        <w:pStyle w:val="Normal.0"/>
      </w:pPr>
    </w:p>
    <w:p>
      <w:pPr>
        <w:pStyle w:val="Normal.0"/>
        <w:jc w:val="both"/>
        <w:rPr>
          <w:rFonts w:ascii="Calibri" w:cs="Calibri" w:hAnsi="Calibri" w:eastAsia="Calibri"/>
        </w:rPr>
      </w:pP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-predvidjeti dijelom fiksne a dijelom izvla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ne tribine za gledatelje kapaciteta sukladno va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e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em pravilniku i objavljenom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kovniku opremanja dvodijelnih dvorana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-u sklopu dvorane predvidjeti manju  dvoranu sukladno tablici 4 pravilnika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-predvidjeti priklju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enje dvorane na komunalnu infrastrukturu ( voda, odvodnja, struja, plin, telekomunikacije( spoj na opti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ku infrastrukturu)) kao samostalnog objekta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sun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 xml:space="preserve">ane kolektore na krovu dvorane i primijeniti obnovljive izvore energije 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dizalice topline sa rezervnim sustavom grijanja na plin u slu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aju ekstremno niskih temperatura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-predvidjeti centralni nadzorno upravlja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 xml:space="preserve">ki sustav   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moderan semafor prikladan dana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njem vremenu za odvijanje sportskih natjecanja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-predvidjeti dovoljno prostorija za spremanje sportskih rekvizita potrebnih za treniranje i odvijanje nastave tjelesnog odgoja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-U fazi projektiranja odr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ati minimalno 3 sastanka sa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iteljem glede uskla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zahtjeva prije isho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akta za gradnju i dovr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etka pripadaju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ih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kovnika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hortikulturalno ure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enje parcele oko dvorane kao i sustav vanjske rasvjete dvorane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 xml:space="preserve">-predvidjeti spoj dvorane sa zgradom osnovne 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kole </w:t>
      </w:r>
      <w:r>
        <w:rPr>
          <w:rFonts w:ascii="Calibri" w:hAnsi="Calibri" w:hint="default"/>
          <w:rtl w:val="0"/>
        </w:rPr>
        <w:t>„</w:t>
      </w:r>
      <w:r>
        <w:rPr>
          <w:rFonts w:ascii="Calibri" w:hAnsi="Calibri"/>
          <w:rtl w:val="0"/>
        </w:rPr>
        <w:t>grijanim hodnikom</w:t>
      </w:r>
      <w:r>
        <w:rPr>
          <w:rFonts w:ascii="Calibri" w:hAnsi="Calibri" w:hint="default"/>
          <w:rtl w:val="0"/>
        </w:rPr>
        <w:t>“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-napravit 3D vizualizaciju dvorane i prostora oko dvorane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ozvu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enje dvorane i svla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ionica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videonadzor vanjskog dijela dvorane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digitalne brave radi kontrole ulaska i kori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tenja putem 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ifri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aluminijsku stolariju- vanjski dio a unutra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nju PVC u antracit boji, projektirati komarnike na dijelovima koje je mogu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otvoriti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-projektirati podno grijanje u svla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ionicama, hodnicima i ostalim prostorijama osim samog dvoranskog prostora sa mogu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no</w:t>
      </w:r>
      <w:r>
        <w:rPr>
          <w:rFonts w:ascii="Calibri" w:hAnsi="Calibri" w:hint="default"/>
          <w:rtl w:val="0"/>
        </w:rPr>
        <w:t>šć</w:t>
      </w:r>
      <w:r>
        <w:rPr>
          <w:rFonts w:ascii="Calibri" w:hAnsi="Calibri"/>
          <w:rtl w:val="0"/>
        </w:rPr>
        <w:t>u daljinskog upravljanja i nadzora rada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-napraviti poseban izra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un- projekciju potro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nje energenata na godi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njoj razini uva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avaju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 prosje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ne vrijednosti klimatskih prilika na mikrolokaciji i standardnu upotrebu dvorane.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</w:p>
    <w:p>
      <w:pPr>
        <w:pStyle w:val="Normal.0"/>
        <w:shd w:val="clear" w:color="auto" w:fill="ffffff"/>
        <w:spacing w:before="240" w:after="120" w:line="215" w:lineRule="atLeast"/>
        <w:ind w:firstLine="720"/>
        <w:jc w:val="both"/>
        <w:rPr>
          <w:rFonts w:ascii="Arial" w:cs="Arial" w:hAnsi="Arial" w:eastAsia="Arial"/>
        </w:rPr>
      </w:pPr>
      <w:r>
        <w:rPr>
          <w:rtl w:val="0"/>
          <w:lang w:val="en-US"/>
        </w:rPr>
        <w:t xml:space="preserve">Zgradu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>kolske sportske dvorane treba projektirati kao pametnu zgradu sa zelenim tendencijama. Pri dizajniranju treba koristiti moderni i sveobuhvatan pristup. U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inkovitim projektiranjem treba posti</w:t>
      </w:r>
      <w:r>
        <w:rPr>
          <w:rtl w:val="0"/>
          <w:lang w:val="en-US"/>
        </w:rPr>
        <w:t>ć</w:t>
      </w:r>
      <w:r>
        <w:rPr>
          <w:rtl w:val="0"/>
          <w:lang w:val="en-US"/>
        </w:rPr>
        <w:t>i  komplementarnost dizajna i energetske u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inkovitosti.</w:t>
      </w:r>
    </w:p>
    <w:p>
      <w:pPr>
        <w:pStyle w:val="Normal.0"/>
        <w:shd w:val="clear" w:color="auto" w:fill="ffffff"/>
        <w:spacing w:before="240" w:after="120" w:line="215" w:lineRule="atLeast"/>
        <w:ind w:firstLine="720"/>
        <w:jc w:val="both"/>
        <w:rPr>
          <w:rFonts w:ascii="Arial" w:cs="Arial" w:hAnsi="Arial" w:eastAsia="Arial"/>
        </w:rPr>
      </w:pPr>
      <w:r>
        <w:rPr>
          <w:rtl w:val="0"/>
          <w:lang w:val="en-US"/>
        </w:rPr>
        <w:t xml:space="preserve">Kao pametna zgrada,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>kolska sportska dvorana treba imati integriranu ICT tehnologiju za rad i upravljanje uslugama i funkcijama zgrade. Potrebno je ugraditi energetski u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inkovite ure</w:t>
      </w:r>
      <w:r>
        <w:rPr>
          <w:rtl w:val="0"/>
          <w:lang w:val="en-US"/>
        </w:rPr>
        <w:t>đ</w:t>
      </w:r>
      <w:r>
        <w:rPr>
          <w:rtl w:val="0"/>
          <w:lang w:val="en-US"/>
        </w:rPr>
        <w:t xml:space="preserve">aje koji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 xml:space="preserve">tede energiju i vodu te sustave za upravljanje energijom kao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>to su LED rasvjeta, pametni ure</w:t>
      </w:r>
      <w:r>
        <w:rPr>
          <w:rtl w:val="0"/>
          <w:lang w:val="en-US"/>
        </w:rPr>
        <w:t>đ</w:t>
      </w:r>
      <w:r>
        <w:rPr>
          <w:rtl w:val="0"/>
          <w:lang w:val="en-US"/>
        </w:rPr>
        <w:t>aji s omogu</w:t>
      </w:r>
      <w:r>
        <w:rPr>
          <w:rtl w:val="0"/>
          <w:lang w:val="en-US"/>
        </w:rPr>
        <w:t>ć</w:t>
      </w:r>
      <w:r>
        <w:rPr>
          <w:rtl w:val="0"/>
          <w:lang w:val="en-US"/>
        </w:rPr>
        <w:t>enim sustavom za upravljanje energijom (pametni termostati, pametne uti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 xml:space="preserve">nice), pametni monitori, softver i pametni senzori za nadzor svjetla, ventilacijskog i klimatizacijskog sustava, softver za sigurnosni sustav, </w:t>
      </w:r>
      <w:r>
        <w:rPr>
          <w:rtl w:val="0"/>
          <w:lang w:val="en-US"/>
        </w:rPr>
        <w:t> </w:t>
      </w:r>
      <w:r>
        <w:rPr>
          <w:rtl w:val="0"/>
          <w:lang w:val="en-US"/>
        </w:rPr>
        <w:t>pametna brojila koja nadziru kvalitetu, koli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inu i vrijeme potro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>nje energije te elektronsko pametno staklo. Ure</w:t>
      </w:r>
      <w:r>
        <w:rPr>
          <w:rtl w:val="0"/>
          <w:lang w:val="en-US"/>
        </w:rPr>
        <w:t>đ</w:t>
      </w:r>
      <w:r>
        <w:rPr>
          <w:rtl w:val="0"/>
          <w:lang w:val="en-US"/>
        </w:rPr>
        <w:t>aji koji se ugra</w:t>
      </w:r>
      <w:r>
        <w:rPr>
          <w:rtl w:val="0"/>
          <w:lang w:val="en-US"/>
        </w:rPr>
        <w:t>đ</w:t>
      </w:r>
      <w:r>
        <w:rPr>
          <w:rtl w:val="0"/>
          <w:lang w:val="en-US"/>
        </w:rPr>
        <w:t xml:space="preserve">uju trebaju biti energetski </w:t>
      </w:r>
      <w:r>
        <w:rPr>
          <w:rtl w:val="0"/>
          <w:lang w:val="en-US"/>
        </w:rPr>
        <w:t>š</w:t>
      </w:r>
      <w:r>
        <w:rPr>
          <w:rtl w:val="0"/>
          <w:lang w:val="en-US"/>
        </w:rPr>
        <w:t>tedljivi i samodostatni ure</w:t>
      </w:r>
      <w:r>
        <w:rPr>
          <w:rtl w:val="0"/>
          <w:lang w:val="en-US"/>
        </w:rPr>
        <w:t>đ</w:t>
      </w:r>
      <w:r>
        <w:rPr>
          <w:rtl w:val="0"/>
          <w:lang w:val="en-US"/>
        </w:rPr>
        <w:t>aji.</w:t>
      </w:r>
    </w:p>
    <w:p>
      <w:pPr>
        <w:pStyle w:val="Normal.0"/>
        <w:ind w:firstLine="426"/>
        <w:jc w:val="both"/>
        <w:rPr>
          <w:rFonts w:ascii="Calibri" w:cs="Calibri" w:hAnsi="Calibri" w:eastAsia="Calibri"/>
        </w:rPr>
      </w:pPr>
      <w:r>
        <w:rPr>
          <w:rtl w:val="0"/>
          <w:lang w:val="en-US"/>
        </w:rPr>
        <w:t>Zgrada treba imati sustav samostalnog izvora energije, fotonaponski i solarno termalni. Aktivna solarna energija treba koristi funkcionalne sustave koji apsorbiraju sun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evu energiju za grijanje i elektri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nu energiju. Potrebno je ugraditi solarne grija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e vode s elektri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 xml:space="preserve">nim toplinskim pumpama. Potrebno je postaviti prozore s dvostrukim ili trostrukim elektronski pametnim staklom visokih performansi i tehnike izolacije 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 xml:space="preserve">ime </w:t>
      </w:r>
      <w:r>
        <w:rPr>
          <w:rtl w:val="0"/>
          <w:lang w:val="en-US"/>
        </w:rPr>
        <w:t>ć</w:t>
      </w:r>
      <w:r>
        <w:rPr>
          <w:rtl w:val="0"/>
          <w:lang w:val="en-US"/>
        </w:rPr>
        <w:t>e se smanjiti potreba za elektri</w:t>
      </w:r>
      <w:r>
        <w:rPr>
          <w:rtl w:val="0"/>
          <w:lang w:val="en-US"/>
        </w:rPr>
        <w:t>č</w:t>
      </w:r>
      <w:r>
        <w:rPr>
          <w:rtl w:val="0"/>
          <w:lang w:val="en-US"/>
        </w:rPr>
        <w:t>nom energijom</w:t>
      </w:r>
    </w:p>
    <w:p>
      <w:pPr>
        <w:pStyle w:val="Default"/>
        <w:ind w:firstLine="426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Budu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ć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 da se radi o objektu u kojem i oko kojeg borave djeca, posebnu pa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ž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nju treba pridodati osiguranju gradili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ta i za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titi na radu, posebice se to odnosi na ogra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đ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ivanje gradili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ta tijekom izvo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đ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enja radova i zabranu pristupa neovla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š</w:t>
      </w:r>
      <w:r>
        <w:rPr>
          <w:outline w:val="0"/>
          <w:color w:val="000000"/>
          <w:u w:color="000000"/>
          <w:rtl w:val="0"/>
          <w14:textFill>
            <w14:solidFill>
              <w14:srgbClr w14:val="000000"/>
            </w14:solidFill>
          </w14:textFill>
        </w:rPr>
        <w:t>tenim osobama.</w:t>
      </w:r>
    </w:p>
    <w:p>
      <w:pPr>
        <w:pStyle w:val="Default"/>
        <w:ind w:left="360" w:firstLine="0"/>
        <w:rPr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numPr>
          <w:ilvl w:val="0"/>
          <w:numId w:val="3"/>
        </w:numPr>
        <w:bidi w:val="0"/>
        <w:ind w:right="0"/>
        <w:jc w:val="left"/>
        <w:rPr>
          <w:rFonts w:ascii="Calibri" w:hAnsi="Calibri"/>
          <w:b w:val="1"/>
          <w:bCs w:val="1"/>
          <w:rtl w:val="0"/>
        </w:rPr>
      </w:pPr>
      <w:r>
        <w:rPr>
          <w:rFonts w:ascii="Calibri" w:hAnsi="Calibri"/>
          <w:b w:val="1"/>
          <w:bCs w:val="1"/>
          <w:rtl w:val="0"/>
        </w:rPr>
        <w:t>PROPISI</w:t>
      </w:r>
    </w:p>
    <w:p>
      <w:pPr>
        <w:pStyle w:val="Normal.0"/>
        <w:ind w:left="720" w:firstLine="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Projektna dokumentacija mora biti izra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ena u skladu s va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e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im zakonima, pravilnicima, normativima i standardima koji se primjenjuju na 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enje i odr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avanje postoje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ih 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 xml:space="preserve">evina. </w:t>
      </w: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Ukoliko se u procesu gradnje pojavi potreba za izmjenom/doradom glavnog projekta koja je nastala kao rezultat me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usobne neuskla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enosti dijelova projekata ili kao neuskla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enost projekta sa stanjem na terenu, projektant je obvezan izmijeniti potrebne dijelove glavnog projekta u primjerenom roku koji ne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utjecati na rok izvo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radova, bez zahtjeva za posebnom financijskom naknadom.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Prije izrade glavnog projekta 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itelj je du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an izraditi sve potrebne elaborate neophodne za izradu glavnog projekta, kako je propisano Zakonom o gradnji, a na temelju posebnih uvjeta koje je ishodio od pojedinih nadle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nih tijela. 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itelj je du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an provesti konzultacije s korisnicima prostora te uz suglasnost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itelja uva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iti potrebe i zahtjeve korisnika u mjeri u kojoj je to mogu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s obzirom na zakonske propise, opseg i cijenu zahvata.</w:t>
      </w:r>
    </w:p>
    <w:p>
      <w:pPr>
        <w:pStyle w:val="Normal.0"/>
        <w:ind w:firstLine="567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itelj mora u projektu i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kovnicima specificirati sva zakonski potrebna ispitivanja i izdavanja uvjerenja o ispravnosti instalacije, opreme i ure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aja koje propisuju va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e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 zakonski propisi u vrijeme izrade projekta, te navesti ovla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tena tijela za izdavanje istih.</w:t>
      </w: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Projektirane mjere za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tite na radu, moraju se o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 xml:space="preserve">itovati i u 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injenici da svi ugra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eni materijali, kako tijekom izvo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tako i tijekom budu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eg dugogodi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njeg razdoblja kori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tenja nisu opasni za ljudsko zdravlje, tj. ne uzrokuju opasna zra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enja, raspadanja i druge ne</w:t>
      </w:r>
      <w:r>
        <w:rPr>
          <w:rFonts w:ascii="Calibri" w:hAnsi="Calibri" w:hint="default"/>
          <w:rtl w:val="0"/>
        </w:rPr>
        <w:t>ž</w:t>
      </w:r>
      <w:r>
        <w:rPr>
          <w:rFonts w:ascii="Calibri" w:hAnsi="Calibri"/>
          <w:rtl w:val="0"/>
        </w:rPr>
        <w:t>eljene efekte.</w:t>
      </w: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itelj ima posebnu obvezu odazvati se na poziv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itelja pri realizaciji projekta i na svoj rizik i o svome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ku otkloniti sve eventualno uo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ene nedostatke na izra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enoj projektnoj dokumentaciji koje je sam prouzro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io i to bilo da je propustio izraditi odre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eni dio projektne dokumentacije bilo da je nestru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no i nekvalitetno izradio projektnu dokumentaciju ili njezin dio.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Calibri" w:hAnsi="Calibri"/>
          <w:b w:val="1"/>
          <w:bCs w:val="1"/>
          <w:rtl w:val="0"/>
        </w:rPr>
      </w:pPr>
      <w:r>
        <w:rPr>
          <w:rFonts w:ascii="Calibri" w:hAnsi="Calibri"/>
          <w:b w:val="1"/>
          <w:bCs w:val="1"/>
          <w:rtl w:val="0"/>
        </w:rPr>
        <w:t>ROK IZRADE I OPSEG ISPORUKE</w:t>
      </w:r>
    </w:p>
    <w:p>
      <w:pPr>
        <w:pStyle w:val="Normal.0"/>
        <w:ind w:left="720" w:firstLine="0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Rok izrade projektne dokumentacije i isho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enja 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 xml:space="preserve">evinske dozvole je 120 kalendarskih dana od potpisa Ugovora o nabavi. </w:t>
      </w:r>
    </w:p>
    <w:p>
      <w:pPr>
        <w:pStyle w:val="Normal.0"/>
        <w:ind w:firstLine="426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Zavr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enu projektnu dokumentaciju potrebno je dostaviti:</w:t>
      </w: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 xml:space="preserve"> - 4 primjerka u tiskanom formatu i 1 u digitalnom formatu (CD)</w:t>
      </w: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 Objedinjeni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kovnik radova bez cijena </w:t>
      </w:r>
      <w:r>
        <w:rPr>
          <w:rFonts w:ascii="Calibri" w:hAnsi="Calibri" w:hint="default"/>
          <w:rtl w:val="0"/>
        </w:rPr>
        <w:t xml:space="preserve">– </w:t>
      </w:r>
      <w:r>
        <w:rPr>
          <w:rFonts w:ascii="Calibri" w:hAnsi="Calibri"/>
          <w:rtl w:val="0"/>
        </w:rPr>
        <w:t>1 u digitalnom(CD)</w:t>
      </w: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- Objedinjeni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kovnik radova sa cijenama </w:t>
      </w:r>
      <w:r>
        <w:rPr>
          <w:rFonts w:ascii="Calibri" w:hAnsi="Calibri" w:hint="default"/>
          <w:rtl w:val="0"/>
        </w:rPr>
        <w:t xml:space="preserve">– </w:t>
      </w:r>
      <w:r>
        <w:rPr>
          <w:rFonts w:ascii="Calibri" w:hAnsi="Calibri"/>
          <w:rtl w:val="0"/>
        </w:rPr>
        <w:t>1 primjerak u tiskanom formatu i 1 u</w:t>
      </w: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digitalnom (CD)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Formati isporuke: tekst u formatu .doc ili .xls, nacrti u formatu .dwg  i .pdf.</w:t>
      </w:r>
    </w:p>
    <w:p>
      <w:pPr>
        <w:pStyle w:val="Normal.0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Objedinjeni tro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kovnik radova bez cijena koji 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biti sastavni dio Dokumentacije za nadmetanje i koji se u postupku javne nabave dostavlja ponuditeljima u elektronskom formatu, mora biti izra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 u .xls formatu sukladno uputi ovla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tenog predstavnika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itelja. Sva dokumentacija se isporu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uje predstavniku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itelja uz odgovaraju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i otpremni dokument. O isporuci svakog kompleta dokumentacije sastavlja se primopredajni zapisnik ovjeren od strane predstavnika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itelja i 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itelja.</w:t>
      </w: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Fonts w:ascii="Calibri" w:hAnsi="Calibri"/>
          <w:b w:val="1"/>
          <w:bCs w:val="1"/>
          <w:rtl w:val="0"/>
        </w:rPr>
      </w:pPr>
      <w:r>
        <w:rPr>
          <w:rFonts w:ascii="Calibri" w:hAnsi="Calibri"/>
          <w:b w:val="1"/>
          <w:bCs w:val="1"/>
          <w:rtl w:val="0"/>
        </w:rPr>
        <w:t>PLA</w:t>
      </w:r>
      <w:r>
        <w:rPr>
          <w:rFonts w:ascii="Calibri" w:hAnsi="Calibri" w:hint="default"/>
          <w:b w:val="1"/>
          <w:bCs w:val="1"/>
          <w:rtl w:val="0"/>
        </w:rPr>
        <w:t>Ć</w:t>
      </w:r>
      <w:r>
        <w:rPr>
          <w:rFonts w:ascii="Calibri" w:hAnsi="Calibri"/>
          <w:b w:val="1"/>
          <w:bCs w:val="1"/>
          <w:rtl w:val="0"/>
        </w:rPr>
        <w:t>ANJE</w:t>
      </w:r>
    </w:p>
    <w:p>
      <w:pPr>
        <w:pStyle w:val="Normal.0"/>
        <w:ind w:left="720" w:firstLine="0"/>
        <w:rPr>
          <w:rFonts w:ascii="Calibri" w:cs="Calibri" w:hAnsi="Calibri" w:eastAsia="Calibri"/>
          <w:b w:val="1"/>
          <w:bCs w:val="1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  <w:r>
        <w:rPr>
          <w:rFonts w:ascii="Calibri" w:hAnsi="Calibri"/>
          <w:rtl w:val="0"/>
        </w:rPr>
        <w:t>Izvr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 xml:space="preserve">itelj usluge 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za obavljenu uslugu Naru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itelju ispostaviti ra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un, po isho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>enju gra</w:t>
      </w:r>
      <w:r>
        <w:rPr>
          <w:rFonts w:ascii="Calibri" w:hAnsi="Calibri" w:hint="default"/>
          <w:rtl w:val="0"/>
        </w:rPr>
        <w:t>đ</w:t>
      </w:r>
      <w:r>
        <w:rPr>
          <w:rFonts w:ascii="Calibri" w:hAnsi="Calibri"/>
          <w:rtl w:val="0"/>
        </w:rPr>
        <w:t xml:space="preserve">evinske dozvole i nakon predaje kompletne dokumentacije, temeljem kojeg 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se obaviti pla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anje. Pla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 xml:space="preserve">anje </w:t>
      </w:r>
      <w:r>
        <w:rPr>
          <w:rFonts w:ascii="Calibri" w:hAnsi="Calibri" w:hint="default"/>
          <w:rtl w:val="0"/>
        </w:rPr>
        <w:t>ć</w:t>
      </w:r>
      <w:r>
        <w:rPr>
          <w:rFonts w:ascii="Calibri" w:hAnsi="Calibri"/>
          <w:rtl w:val="0"/>
        </w:rPr>
        <w:t>e se obaviti u roku od 60 (</w:t>
      </w:r>
      <w:r>
        <w:rPr>
          <w:rFonts w:ascii="Calibri" w:hAnsi="Calibri" w:hint="default"/>
          <w:rtl w:val="0"/>
        </w:rPr>
        <w:t>š</w:t>
      </w:r>
      <w:r>
        <w:rPr>
          <w:rFonts w:ascii="Calibri" w:hAnsi="Calibri"/>
          <w:rtl w:val="0"/>
        </w:rPr>
        <w:t>ezdeset) dana od dana primitka ra</w:t>
      </w:r>
      <w:r>
        <w:rPr>
          <w:rFonts w:ascii="Calibri" w:hAnsi="Calibri" w:hint="default"/>
          <w:rtl w:val="0"/>
        </w:rPr>
        <w:t>č</w:t>
      </w:r>
      <w:r>
        <w:rPr>
          <w:rFonts w:ascii="Calibri" w:hAnsi="Calibri"/>
          <w:rtl w:val="0"/>
        </w:rPr>
        <w:t>una.</w:t>
      </w:r>
    </w:p>
    <w:p>
      <w:pPr>
        <w:pStyle w:val="Normal.0"/>
        <w:ind w:firstLine="426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</w:p>
    <w:p>
      <w:pPr>
        <w:pStyle w:val="Normal.0"/>
        <w:ind w:firstLine="426"/>
        <w:rPr>
          <w:rFonts w:ascii="Calibri" w:cs="Calibri" w:hAnsi="Calibri" w:eastAsia="Calibri"/>
        </w:rPr>
      </w:pPr>
    </w:p>
    <w:p>
      <w:pPr>
        <w:pStyle w:val="Normal.0"/>
        <w:ind w:firstLine="720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  <w:rPr>
          <w:rFonts w:ascii="Calibri" w:cs="Calibri" w:hAnsi="Calibri" w:eastAsia="Calibri"/>
        </w:rPr>
      </w:pPr>
    </w:p>
    <w:p>
      <w:pPr>
        <w:pStyle w:val="Normal.0"/>
      </w:pPr>
      <w:r>
        <w:rPr>
          <w:rFonts w:ascii="Calibri" w:cs="Calibri" w:hAnsi="Calibri" w:eastAsia="Calibri"/>
        </w:rPr>
      </w:r>
    </w:p>
    <w:sectPr>
      <w:headerReference w:type="default" r:id="rId4"/>
      <w:footerReference w:type="default" r:id="rId5"/>
      <w:pgSz w:w="12240" w:h="15840" w:orient="portrait"/>
      <w:pgMar w:top="624" w:right="567" w:bottom="567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Verdan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odnožje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0" w:hanging="302"/>
      </w:pPr>
      <w:rPr>
        <w:rFonts w:hAnsi="Arial Unicode MS"/>
        <w:b w:val="1"/>
        <w:bCs w:val="1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Podnožje">
    <w:name w:val="Podnožje"/>
    <w:next w:val="Podnožje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Imported Style 1">
    <w:name w:val="Imported Style 1"/>
    <w:pPr>
      <w:numPr>
        <w:numId w:val="1"/>
      </w:numPr>
    </w:pPr>
  </w:style>
  <w:style w:type="paragraph" w:styleId="Standard (Web)">
    <w:name w:val="Standard (Web)"/>
    <w:next w:val="Standard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